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20 vom 18. September 2023</w:t>
      </w:r>
    </w:p>
    <w:p>
      <w:r>
        <w:t>NW Gerichte, 2023-09-18, DE</w:t>
      </w:r>
    </w:p>
    <w:p>
      <w:r>
        <w:rPr>
          <w:b/>
        </w:rPr>
        <w:t xml:space="preserve">Quelle: </w:t>
      </w:r>
      <w:r>
        <w:t>https://mcp.opencaselaw.ch/entscheid/nw_gerichte_VA 23 20</w:t>
      </w:r>
    </w:p>
    <w:p>
      <w:r>
        <w:t>FR: NW_GERICHTE VA 23 20 du 18 septembre 2023</w:t>
      </w:r>
    </w:p>
    <w:p>
      <w:r>
        <w:t>IT: NW_GERICHTE VA 23 20 del 18 settembre 2023</w:t>
      </w:r>
    </w:p>
    <w:p>
      <w:pPr>
        <w:pStyle w:val="Heading2"/>
      </w:pPr>
      <w:r>
        <w:t>Erwägungen</w:t>
      </w:r>
    </w:p>
    <w:p>
      <w:r>
        <w:rPr>
          <w:b/>
        </w:rPr>
        <w:t>E. 1</w:t>
      </w:r>
    </w:p>
    <w:p>
      <w:r>
        <w:t>Beschwerdeentscheide der Direktion unterliegen der Beschwerde ans Verwaltungsgericht (Art. 27 Abs. 2 Strafvollzugsgesetz [StVG; NG 273.3]). Das Verwaltungsgericht entscheidet in Fünferbesetzung (Art. 31, Art. 33 Abs. 1 Ziff. 3 und Art. 38 Abs. 1 Gerichtsgesetz [GerG; NG 261.2]), zumal die Prüfung von Eintretensvoraussetzungen nicht zu den Präsidialbefug- nissen zählt (Art. 71 Abs. 2 GerG).</w:t>
      </w:r>
    </w:p>
    <w:p>
      <w:r>
        <w:rPr>
          <w:b/>
        </w:rPr>
        <w:t>E. 2.1</w:t>
      </w:r>
    </w:p>
    <w:p>
      <w:r>
        <w:t>Im Verwaltungsgerichts- und dem Verfassungsgerichtsverfahren hat die beschwerdeführende oder klagende Partei einen angemessenen Kostenvorschuss für die amtlichen Kosten zu leis- ten (Art. 117 Abs. 2 Verwaltungsrechtspflegegesetz [VRG; NG 265.1]). Die Verfahrensleitung setzt eine Frist zur Leistung des Kostenvorschusses (Art. 119 Abs. 1 VRG). Wird der Kosten- vorschuss auch nicht binnen einer kurzen Nachfrist geleistet, tritt das Gericht auf die Be- schwerde oder die Klage nicht ein (Abs. 3). Die Behörde hat Vorladungen, Entscheide und andere Mitteilungen durch die Post oder durch Boten zuzustellen (Art. 31 Abs. 1 Satz 1 VRG). Die Zustellung gilt auch als rechtmässig erfolgt und ist rechtswirksam, wenn der Adressat die Annahme ausdrücklich verweigert oder eine</w:t>
      </w:r>
    </w:p>
    <w:p>
      <w:r>
        <w:rPr>
          <w:b/>
        </w:rPr>
        <w:t>E. 2.2</w:t>
      </w:r>
    </w:p>
    <w:p>
      <w:r>
        <w:t>Der Beschwerdeführer wurde mit (eingeschriebenen) Postsendungen vom 13. Juni sowie</w:t>
      </w:r>
    </w:p>
    <w:p>
      <w:r>
        <w:rPr>
          <w:b/>
        </w:rPr>
        <w:t>E. 4</w:t>
      </w:r>
    </w:p>
    <w:p>
      <w:r>
        <w:t>│ 6 eingeschriebene Sendung nicht binnen der angesetzten Frist abholt (Art. 32 VRG). Voraus- setzung der Zustellfiktion ist indes, dass der Empfänger mit der Zustellung rechnen musste: Mit der Rechtshängigkeit entsteht ein Prozessrechtsverhältnis, welches die Parteien verpflich- tet, sich nach Treu und Glauben zu verhalten, das heisst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Die Frist läuft vom Empfang der Mitteilung an, wobei bei der Berechnung der Frist der Tag, an welchem die den Fristenlauf auslösende Tatsache eintritt, nicht mitgezählt wird (Art. 33 i.V.m. Art. 34 Abs. 1 VRG). In Einsprache- und Rechtsmittelverfahren vor den Verwaltungsbehörden sowie in Verwaltungsgerichtsverfahren steht der Fristenlauf unter Vorbehalt von Art. 33a Abs. 3 Ziff. 2 VRG vom 15. Juli bis und mit 15. August still (Art. 33a Abs. 2 Ziff. 2 VRG). Fällt der letzte Tag der Frist auf einen Samstag, einen öffentlichen Ruhetag oder einen arbeitsfreien Tag, endigt sie am nächstfolgenden Werktag (Art. 34 Abs. 2 VRG).</w:t>
      </w:r>
    </w:p>
    <w:p>
      <w:r>
        <w:rPr>
          <w:b/>
        </w:rPr>
        <w:t>E. 5</w:t>
      </w:r>
    </w:p>
    <w:p>
      <w:r>
        <w:t>│ 6 3. 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Abs. 1 Prozesskostengesetz [PKoG; NG 261.2]). Wird ein Streitfall ohne materiellen Entscheid erledigt, beträgt die Gebühr höchstens drei Vier- tel der ordentlichen Gebühr (Art. 4 Abs. 2 PKoG). Die Gerichtsgebühr wird ermessenweise (Art. 2 Abs. 1 PKoG) auf Fr. 200.– festgesetzt. Aus- gangsgemäss wird sie vollumfänglich dem Beschwerdeführer, auf dessen Rechtsmittel nicht eingetreten wurde, auferlegt.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